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37" w:type="dxa"/>
        <w:shd w:val="clear" w:color="auto" w:fill="721348"/>
        <w:tblCellMar>
          <w:left w:w="0" w:type="dxa"/>
          <w:right w:w="0" w:type="dxa"/>
        </w:tblCellMar>
        <w:tblLook w:val="04A0" w:firstRow="1" w:lastRow="0" w:firstColumn="1" w:lastColumn="0" w:noHBand="0" w:noVBand="1"/>
      </w:tblPr>
      <w:tblGrid>
        <w:gridCol w:w="194"/>
        <w:gridCol w:w="2451"/>
        <w:gridCol w:w="191"/>
        <w:gridCol w:w="6524"/>
      </w:tblGrid>
      <w:tr w:rsidR="001B06CA" w:rsidRPr="001B06CA" w:rsidTr="001B06CA">
        <w:trPr>
          <w:tblCellSpacing w:w="37" w:type="dxa"/>
        </w:trPr>
        <w:tc>
          <w:tcPr>
            <w:tcW w:w="50" w:type="pct"/>
            <w:shd w:val="clear" w:color="auto" w:fill="721348"/>
            <w:hideMark/>
          </w:tcPr>
          <w:p w:rsidR="001B06CA" w:rsidRPr="001B06CA" w:rsidRDefault="001B06CA" w:rsidP="001B06CA">
            <w:pPr>
              <w:spacing w:after="0" w:line="240" w:lineRule="auto"/>
              <w:rPr>
                <w:rFonts w:ascii="Arial" w:eastAsia="Times New Roman" w:hAnsi="Arial" w:cs="Arial"/>
                <w:color w:val="111111"/>
                <w:sz w:val="21"/>
                <w:szCs w:val="21"/>
              </w:rPr>
            </w:pPr>
            <w:r w:rsidRPr="001B06CA">
              <w:rPr>
                <w:rFonts w:ascii="Arial" w:eastAsia="Times New Roman" w:hAnsi="Arial" w:cs="Arial"/>
                <w:color w:val="111111"/>
                <w:sz w:val="21"/>
                <w:szCs w:val="21"/>
              </w:rPr>
              <w:t> </w:t>
            </w:r>
          </w:p>
        </w:tc>
        <w:tc>
          <w:tcPr>
            <w:tcW w:w="1300" w:type="pct"/>
            <w:shd w:val="clear" w:color="auto" w:fill="721348"/>
            <w:hideMark/>
          </w:tcPr>
          <w:p w:rsidR="001B06CA" w:rsidRPr="001B06CA" w:rsidRDefault="001B06CA" w:rsidP="001B06CA">
            <w:pPr>
              <w:spacing w:after="0" w:line="240" w:lineRule="auto"/>
              <w:rPr>
                <w:rFonts w:ascii="Arial" w:eastAsia="Times New Roman" w:hAnsi="Arial" w:cs="Arial"/>
                <w:color w:val="111111"/>
                <w:sz w:val="21"/>
                <w:szCs w:val="21"/>
              </w:rPr>
            </w:pPr>
            <w:r w:rsidRPr="001B06CA">
              <w:rPr>
                <w:rFonts w:ascii="Arial" w:eastAsia="Times New Roman" w:hAnsi="Arial" w:cs="Arial"/>
                <w:b/>
                <w:bCs/>
                <w:color w:val="68BFC9"/>
                <w:sz w:val="36"/>
                <w:szCs w:val="36"/>
              </w:rPr>
              <w:t>CASE</w:t>
            </w:r>
            <w:r w:rsidRPr="001B06CA">
              <w:rPr>
                <w:rFonts w:ascii="Arial" w:eastAsia="Times New Roman" w:hAnsi="Arial" w:cs="Arial"/>
                <w:color w:val="111111"/>
                <w:sz w:val="21"/>
                <w:szCs w:val="21"/>
              </w:rPr>
              <w:t>   </w:t>
            </w:r>
            <w:r w:rsidRPr="001B06CA">
              <w:rPr>
                <w:rFonts w:ascii="Arial" w:eastAsia="Times New Roman" w:hAnsi="Arial" w:cs="Arial"/>
                <w:b/>
                <w:bCs/>
                <w:color w:val="FECE7B"/>
                <w:sz w:val="36"/>
                <w:szCs w:val="36"/>
              </w:rPr>
              <w:t>20-1</w:t>
            </w:r>
          </w:p>
        </w:tc>
        <w:tc>
          <w:tcPr>
            <w:tcW w:w="50" w:type="pct"/>
            <w:shd w:val="clear" w:color="auto" w:fill="721348"/>
            <w:hideMark/>
          </w:tcPr>
          <w:p w:rsidR="001B06CA" w:rsidRPr="001B06CA" w:rsidRDefault="001B06CA" w:rsidP="001B06CA">
            <w:pPr>
              <w:spacing w:after="0" w:line="240" w:lineRule="auto"/>
              <w:rPr>
                <w:rFonts w:ascii="Arial" w:eastAsia="Times New Roman" w:hAnsi="Arial" w:cs="Arial"/>
                <w:color w:val="111111"/>
                <w:sz w:val="21"/>
                <w:szCs w:val="21"/>
              </w:rPr>
            </w:pPr>
            <w:r w:rsidRPr="001B06CA">
              <w:rPr>
                <w:rFonts w:ascii="Arial" w:eastAsia="Times New Roman" w:hAnsi="Arial" w:cs="Arial"/>
                <w:color w:val="111111"/>
                <w:sz w:val="21"/>
                <w:szCs w:val="21"/>
              </w:rPr>
              <w:t>  </w:t>
            </w:r>
          </w:p>
        </w:tc>
        <w:tc>
          <w:tcPr>
            <w:tcW w:w="3500" w:type="pct"/>
            <w:shd w:val="clear" w:color="auto" w:fill="721348"/>
            <w:hideMark/>
          </w:tcPr>
          <w:p w:rsidR="001B06CA" w:rsidRPr="001B06CA" w:rsidRDefault="001B06CA" w:rsidP="001B06CA">
            <w:pPr>
              <w:spacing w:after="0" w:line="240" w:lineRule="auto"/>
              <w:rPr>
                <w:rFonts w:ascii="Arial" w:eastAsia="Times New Roman" w:hAnsi="Arial" w:cs="Arial"/>
                <w:color w:val="111111"/>
                <w:sz w:val="21"/>
                <w:szCs w:val="21"/>
              </w:rPr>
            </w:pPr>
            <w:r w:rsidRPr="001B06CA">
              <w:rPr>
                <w:rFonts w:ascii="Arial" w:eastAsia="Times New Roman" w:hAnsi="Arial" w:cs="Arial"/>
                <w:b/>
                <w:bCs/>
                <w:color w:val="FFFFFF"/>
                <w:sz w:val="27"/>
                <w:szCs w:val="27"/>
              </w:rPr>
              <w:t>MILLER v. MILLS CONSTRUCTION, INC.</w:t>
            </w:r>
            <w:r w:rsidRPr="001B06CA">
              <w:rPr>
                <w:rFonts w:ascii="Arial" w:eastAsia="Times New Roman" w:hAnsi="Arial" w:cs="Arial"/>
                <w:color w:val="111111"/>
                <w:sz w:val="21"/>
                <w:szCs w:val="21"/>
              </w:rPr>
              <w:br/>
            </w:r>
            <w:r w:rsidRPr="001B06CA">
              <w:rPr>
                <w:rFonts w:ascii="Arial" w:eastAsia="Times New Roman" w:hAnsi="Arial" w:cs="Arial"/>
                <w:b/>
                <w:bCs/>
                <w:color w:val="FFFFFF"/>
                <w:sz w:val="24"/>
                <w:szCs w:val="24"/>
              </w:rPr>
              <w:t>EIGHTH CIRCUIT COURT OF APPEALS 352 F.3D 1166 (8TH CIR. 2003)</w:t>
            </w:r>
          </w:p>
        </w:tc>
      </w:tr>
    </w:tbl>
    <w:p w:rsidR="001B06CA" w:rsidRPr="001B06CA" w:rsidRDefault="001B06CA" w:rsidP="001B06CA">
      <w:pPr>
        <w:spacing w:after="0" w:line="240" w:lineRule="auto"/>
        <w:rPr>
          <w:rFonts w:ascii="Times New Roman" w:eastAsia="Times New Roman" w:hAnsi="Times New Roman" w:cs="Times New Roman"/>
          <w:vanish/>
          <w:sz w:val="24"/>
          <w:szCs w:val="24"/>
        </w:rPr>
      </w:pPr>
    </w:p>
    <w:tbl>
      <w:tblPr>
        <w:tblW w:w="0" w:type="auto"/>
        <w:tblCellSpacing w:w="7" w:type="dxa"/>
        <w:shd w:val="clear" w:color="auto" w:fill="FEF5E0"/>
        <w:tblCellMar>
          <w:left w:w="0" w:type="dxa"/>
          <w:right w:w="0" w:type="dxa"/>
        </w:tblCellMar>
        <w:tblLook w:val="04A0" w:firstRow="1" w:lastRow="0" w:firstColumn="1" w:lastColumn="0" w:noHBand="0" w:noVBand="1"/>
      </w:tblPr>
      <w:tblGrid>
        <w:gridCol w:w="80"/>
        <w:gridCol w:w="9280"/>
      </w:tblGrid>
      <w:tr w:rsidR="001B06CA" w:rsidRPr="001B06CA" w:rsidTr="001B06CA">
        <w:trPr>
          <w:tblCellSpacing w:w="7" w:type="dxa"/>
        </w:trPr>
        <w:tc>
          <w:tcPr>
            <w:tcW w:w="0" w:type="auto"/>
            <w:shd w:val="clear" w:color="auto" w:fill="FEF5E0"/>
            <w:vAlign w:val="center"/>
            <w:hideMark/>
          </w:tcPr>
          <w:p w:rsidR="001B06CA" w:rsidRPr="001B06CA" w:rsidRDefault="001B06CA" w:rsidP="001B06CA">
            <w:pPr>
              <w:spacing w:after="0" w:line="240" w:lineRule="auto"/>
              <w:rPr>
                <w:rFonts w:ascii="Arial" w:eastAsia="Times New Roman" w:hAnsi="Arial" w:cs="Arial"/>
                <w:color w:val="111111"/>
                <w:sz w:val="21"/>
                <w:szCs w:val="21"/>
              </w:rPr>
            </w:pPr>
            <w:r w:rsidRPr="001B06CA">
              <w:rPr>
                <w:rFonts w:ascii="Arial" w:eastAsia="Times New Roman" w:hAnsi="Arial" w:cs="Arial"/>
                <w:color w:val="111111"/>
                <w:sz w:val="21"/>
                <w:szCs w:val="21"/>
              </w:rPr>
              <w:t> </w:t>
            </w:r>
          </w:p>
        </w:tc>
        <w:tc>
          <w:tcPr>
            <w:tcW w:w="0" w:type="auto"/>
            <w:shd w:val="clear" w:color="auto" w:fill="FEF5E0"/>
            <w:vAlign w:val="center"/>
            <w:hideMark/>
          </w:tcPr>
          <w:p w:rsidR="001B06CA" w:rsidRPr="001B06CA" w:rsidRDefault="001B06CA" w:rsidP="001B06CA">
            <w:pPr>
              <w:spacing w:after="0" w:line="240" w:lineRule="auto"/>
              <w:rPr>
                <w:rFonts w:ascii="Arial" w:eastAsia="Times New Roman" w:hAnsi="Arial" w:cs="Arial"/>
                <w:color w:val="111111"/>
                <w:sz w:val="21"/>
                <w:szCs w:val="21"/>
              </w:rPr>
            </w:pPr>
            <w:r w:rsidRPr="001B06CA">
              <w:rPr>
                <w:rFonts w:ascii="Arial" w:eastAsia="Times New Roman" w:hAnsi="Arial" w:cs="Arial"/>
                <w:color w:val="111111"/>
                <w:sz w:val="21"/>
                <w:szCs w:val="21"/>
              </w:rPr>
              <w:br/>
            </w:r>
          </w:p>
          <w:p w:rsidR="001B06CA" w:rsidRPr="001B06CA" w:rsidRDefault="001B06CA" w:rsidP="001B06CA">
            <w:pPr>
              <w:spacing w:after="0" w:line="240" w:lineRule="auto"/>
              <w:rPr>
                <w:rFonts w:ascii="Arial" w:eastAsia="Times New Roman" w:hAnsi="Arial" w:cs="Arial"/>
                <w:color w:val="111111"/>
                <w:sz w:val="21"/>
                <w:szCs w:val="21"/>
              </w:rPr>
            </w:pPr>
            <w:r w:rsidRPr="001B06CA">
              <w:rPr>
                <w:rFonts w:ascii="Arial" w:eastAsia="Times New Roman" w:hAnsi="Arial" w:cs="Arial"/>
                <w:i/>
                <w:iCs/>
                <w:color w:val="111111"/>
                <w:sz w:val="21"/>
                <w:szCs w:val="21"/>
              </w:rPr>
              <w:t>Mills Construction, Inc., contracted with the City of Brookings, South Dakota, to construct a series of buildings. As one of the buildings required the erection of a steel clear span, Mills subcontracted the erection of this particular building to Wilma Miller, who conducted business under the name Double Diamond Construction. Under this contract, Double Diamond agreed to supply the labor and equipment, while Mills agreed to obtain prefabricated steel from American Buildings Company (ABC) for the construction.</w:t>
            </w:r>
          </w:p>
          <w:p w:rsidR="001B06CA" w:rsidRPr="001B06CA" w:rsidRDefault="001B06CA" w:rsidP="001B06CA">
            <w:pPr>
              <w:spacing w:after="0" w:line="240" w:lineRule="auto"/>
              <w:rPr>
                <w:rFonts w:ascii="Arial" w:eastAsia="Times New Roman" w:hAnsi="Arial" w:cs="Arial"/>
                <w:color w:val="111111"/>
                <w:sz w:val="21"/>
                <w:szCs w:val="21"/>
              </w:rPr>
            </w:pPr>
            <w:r w:rsidRPr="001B06CA">
              <w:rPr>
                <w:rFonts w:ascii="Arial" w:eastAsia="Times New Roman" w:hAnsi="Arial" w:cs="Arial"/>
                <w:color w:val="111111"/>
                <w:sz w:val="21"/>
                <w:szCs w:val="21"/>
              </w:rPr>
              <w:t>   </w:t>
            </w:r>
            <w:r w:rsidRPr="001B06CA">
              <w:rPr>
                <w:rFonts w:ascii="Arial" w:eastAsia="Times New Roman" w:hAnsi="Arial" w:cs="Arial"/>
                <w:i/>
                <w:iCs/>
                <w:color w:val="111111"/>
                <w:sz w:val="21"/>
                <w:szCs w:val="21"/>
              </w:rPr>
              <w:t>When Double Diamond began construction of the building on April 15, 1998, the company recognized numerous problems with the materials supplied by ABC to Mills, and notified Mills of the problems. Mills recommended that Double Diamond contact ABC directly, but when Double Diamond notified ABC, ABC did not resolve the problems with the materials. Therefore, Double Diamond discontinued construction on May 12, 1998, claiming that construction could not continue until ABC or Mills fixed the problems with the materials. Wilma Miller specified her concerns in a letter to ABC, Mills, and the City of Brookings, dated May 14, 1998, in which she also questioned the structural integrity of the building.</w:t>
            </w:r>
          </w:p>
          <w:p w:rsidR="001B06CA" w:rsidRPr="001B06CA" w:rsidRDefault="001B06CA" w:rsidP="001B06CA">
            <w:pPr>
              <w:spacing w:after="0" w:line="240" w:lineRule="auto"/>
              <w:rPr>
                <w:rFonts w:ascii="Arial" w:eastAsia="Times New Roman" w:hAnsi="Arial" w:cs="Arial"/>
                <w:color w:val="111111"/>
                <w:sz w:val="21"/>
                <w:szCs w:val="21"/>
              </w:rPr>
            </w:pPr>
            <w:r w:rsidRPr="001B06CA">
              <w:rPr>
                <w:rFonts w:ascii="Arial" w:eastAsia="Times New Roman" w:hAnsi="Arial" w:cs="Arial"/>
                <w:color w:val="111111"/>
                <w:sz w:val="21"/>
                <w:szCs w:val="21"/>
              </w:rPr>
              <w:t>p. 454</w:t>
            </w:r>
          </w:p>
          <w:p w:rsidR="001B06CA" w:rsidRPr="001B06CA" w:rsidRDefault="001B06CA" w:rsidP="001B06CA">
            <w:pPr>
              <w:spacing w:after="0" w:line="240" w:lineRule="auto"/>
              <w:rPr>
                <w:rFonts w:ascii="Arial" w:eastAsia="Times New Roman" w:hAnsi="Arial" w:cs="Arial"/>
                <w:color w:val="111111"/>
                <w:sz w:val="21"/>
                <w:szCs w:val="21"/>
              </w:rPr>
            </w:pPr>
            <w:r w:rsidRPr="001B06CA">
              <w:rPr>
                <w:rFonts w:ascii="Arial" w:eastAsia="Times New Roman" w:hAnsi="Arial" w:cs="Arial"/>
                <w:color w:val="111111"/>
                <w:sz w:val="21"/>
                <w:szCs w:val="21"/>
              </w:rPr>
              <w:t>   </w:t>
            </w:r>
            <w:r w:rsidRPr="001B06CA">
              <w:rPr>
                <w:rFonts w:ascii="Arial" w:eastAsia="Times New Roman" w:hAnsi="Arial" w:cs="Arial"/>
                <w:i/>
                <w:iCs/>
                <w:color w:val="111111"/>
                <w:sz w:val="21"/>
                <w:szCs w:val="21"/>
              </w:rPr>
              <w:t>On May 15, 1998, an ABC representative visited the site, and videotaped the building and documented the alleged structural problems. However, the representative concluded that no problems existed with the structure, unless the building was hit by a tornado. Nevertheless, the building collapsed later that evening with winds estimated at 35 miles per hour.</w:t>
            </w:r>
          </w:p>
          <w:p w:rsidR="001B06CA" w:rsidRPr="001B06CA" w:rsidRDefault="001B06CA" w:rsidP="001B06CA">
            <w:pPr>
              <w:spacing w:after="0" w:line="240" w:lineRule="auto"/>
              <w:rPr>
                <w:rFonts w:ascii="Arial" w:eastAsia="Times New Roman" w:hAnsi="Arial" w:cs="Arial"/>
                <w:color w:val="111111"/>
                <w:sz w:val="21"/>
                <w:szCs w:val="21"/>
              </w:rPr>
            </w:pPr>
            <w:r w:rsidRPr="001B06CA">
              <w:rPr>
                <w:rFonts w:ascii="Arial" w:eastAsia="Times New Roman" w:hAnsi="Arial" w:cs="Arial"/>
                <w:color w:val="111111"/>
                <w:sz w:val="21"/>
                <w:szCs w:val="21"/>
              </w:rPr>
              <w:t>   </w:t>
            </w:r>
            <w:r w:rsidRPr="001B06CA">
              <w:rPr>
                <w:rFonts w:ascii="Arial" w:eastAsia="Times New Roman" w:hAnsi="Arial" w:cs="Arial"/>
                <w:i/>
                <w:iCs/>
                <w:color w:val="111111"/>
                <w:sz w:val="21"/>
                <w:szCs w:val="21"/>
              </w:rPr>
              <w:t>Following the collapse, Double Diamond requested payment from Mills for the work completed prior to the collapse. When Mills did not pay the full amount for the work, Double Diamond filed suit for damages. Mills counterclaimed for breach of contract and negligence. The trial court found in favor of Double Diamond, concluding that Mills failed to provide appropriate materials for the construction. Mills appealed, claiming that the trial court did not specify that there had been a material breach.</w:t>
            </w:r>
          </w:p>
          <w:p w:rsidR="001B06CA" w:rsidRPr="001B06CA" w:rsidRDefault="001B06CA" w:rsidP="001B06CA">
            <w:pPr>
              <w:spacing w:after="0" w:line="240" w:lineRule="auto"/>
              <w:rPr>
                <w:rFonts w:ascii="Arial" w:eastAsia="Times New Roman" w:hAnsi="Arial" w:cs="Arial"/>
                <w:color w:val="111111"/>
                <w:sz w:val="21"/>
                <w:szCs w:val="21"/>
              </w:rPr>
            </w:pPr>
            <w:r w:rsidRPr="001B06CA">
              <w:rPr>
                <w:rFonts w:ascii="Arial" w:eastAsia="Times New Roman" w:hAnsi="Arial" w:cs="Arial"/>
                <w:b/>
                <w:bCs/>
                <w:color w:val="111111"/>
                <w:sz w:val="21"/>
                <w:szCs w:val="21"/>
              </w:rPr>
              <w:t>JUDGE LAY:</w:t>
            </w:r>
            <w:r w:rsidRPr="001B06CA">
              <w:rPr>
                <w:rFonts w:ascii="Arial" w:eastAsia="Times New Roman" w:hAnsi="Arial" w:cs="Arial"/>
                <w:color w:val="111111"/>
                <w:sz w:val="21"/>
                <w:szCs w:val="21"/>
              </w:rPr>
              <w:t>  On appeal, Mills argues that the district court erred because it did not find that Mills' failure to provide appropriate materials was a material breach of the contract. Mills suggests that without a finding of material breach, Double Diamond was not entitled to recover any damages.</w:t>
            </w:r>
          </w:p>
          <w:p w:rsidR="001B06CA" w:rsidRPr="001B06CA" w:rsidRDefault="001B06CA" w:rsidP="001B06CA">
            <w:pPr>
              <w:spacing w:after="240" w:line="240" w:lineRule="auto"/>
              <w:rPr>
                <w:rFonts w:ascii="Arial" w:eastAsia="Times New Roman" w:hAnsi="Arial" w:cs="Arial"/>
                <w:color w:val="111111"/>
                <w:sz w:val="21"/>
                <w:szCs w:val="21"/>
              </w:rPr>
            </w:pPr>
            <w:r w:rsidRPr="001B06CA">
              <w:rPr>
                <w:rFonts w:ascii="Arial" w:eastAsia="Times New Roman" w:hAnsi="Arial" w:cs="Arial"/>
                <w:color w:val="111111"/>
                <w:sz w:val="21"/>
                <w:szCs w:val="21"/>
              </w:rPr>
              <w:t>   A material breach of contract allows the aggrieved party to cancel the contract and recover damages for the breach. However, if the breach is not material, the aggrieved party may not cancel the contract but may recover damages for the nonmaterial breach. Under South Dakota law, a material breach is one that “would defeat the very object of the contract.” Whether a party's conduct amounts to a material breach is a question of fact.</w:t>
            </w:r>
          </w:p>
          <w:p w:rsidR="001B06CA" w:rsidRPr="001B06CA" w:rsidRDefault="001B06CA" w:rsidP="001B06CA">
            <w:pPr>
              <w:spacing w:after="240" w:line="240" w:lineRule="auto"/>
              <w:rPr>
                <w:rFonts w:ascii="Arial" w:eastAsia="Times New Roman" w:hAnsi="Arial" w:cs="Arial"/>
                <w:color w:val="111111"/>
                <w:sz w:val="21"/>
                <w:szCs w:val="21"/>
              </w:rPr>
            </w:pPr>
            <w:r w:rsidRPr="001B06CA">
              <w:rPr>
                <w:rFonts w:ascii="Arial" w:eastAsia="Times New Roman" w:hAnsi="Arial" w:cs="Arial"/>
                <w:color w:val="111111"/>
                <w:sz w:val="21"/>
                <w:szCs w:val="21"/>
              </w:rPr>
              <w:t>   The district court found that Mills breached the contract by failing to provide appropriate materials, but it did not use the term “material” to describe Mills' breach. The object of the contract in this case was the construction of the arena by a specified date. Mills' failure to provide suitable building materials prevented proper construction of the building and made the structure vulnerable to collapse. As the district court noted, the record is replete with evidence of problems with the materials supplied by Mills prior to the collapse. These problems eventually required Double Diamond to stop working on the building because nothing more could be done until the problems were corrected. The sheer number of problems with the materials led the district court to find that it was impossible for Double Diamond to perform under the contract. The record also contains evidence that Double Diamond notified Mills and ABC of the problems on several occasions, thereby providing Mills with an opportunity to cure the deficiencies.</w:t>
            </w:r>
          </w:p>
          <w:p w:rsidR="001B06CA" w:rsidRPr="001B06CA" w:rsidRDefault="001B06CA" w:rsidP="001B06CA">
            <w:pPr>
              <w:spacing w:after="240" w:line="240" w:lineRule="auto"/>
              <w:rPr>
                <w:rFonts w:ascii="Arial" w:eastAsia="Times New Roman" w:hAnsi="Arial" w:cs="Arial"/>
                <w:color w:val="111111"/>
                <w:sz w:val="21"/>
                <w:szCs w:val="21"/>
              </w:rPr>
            </w:pPr>
            <w:r w:rsidRPr="001B06CA">
              <w:rPr>
                <w:rFonts w:ascii="Arial" w:eastAsia="Times New Roman" w:hAnsi="Arial" w:cs="Arial"/>
                <w:color w:val="111111"/>
                <w:sz w:val="21"/>
                <w:szCs w:val="21"/>
              </w:rPr>
              <w:lastRenderedPageBreak/>
              <w:t>   On these facts, we conclude that a finding of material breach is implicit in the district court's finding that Mills breached the contract by failing to provide appropriate materials.</w:t>
            </w:r>
          </w:p>
          <w:p w:rsidR="001B06CA" w:rsidRPr="001B06CA" w:rsidRDefault="001B06CA" w:rsidP="001B06CA">
            <w:pPr>
              <w:spacing w:after="240" w:line="240" w:lineRule="auto"/>
              <w:rPr>
                <w:rFonts w:ascii="Arial" w:eastAsia="Times New Roman" w:hAnsi="Arial" w:cs="Arial"/>
                <w:color w:val="111111"/>
                <w:sz w:val="21"/>
                <w:szCs w:val="21"/>
              </w:rPr>
            </w:pPr>
            <w:r w:rsidRPr="001B06CA">
              <w:rPr>
                <w:rFonts w:ascii="Arial" w:eastAsia="Times New Roman" w:hAnsi="Arial" w:cs="Arial"/>
                <w:color w:val="111111"/>
                <w:sz w:val="21"/>
                <w:szCs w:val="21"/>
              </w:rPr>
              <w:t>   Mills further argues on appeal that the district court erred by failing to find that Double Diamond was excused from performanc</w:t>
            </w:r>
            <w:bookmarkStart w:id="0" w:name="_GoBack"/>
            <w:bookmarkEnd w:id="0"/>
            <w:r w:rsidRPr="001B06CA">
              <w:rPr>
                <w:rFonts w:ascii="Arial" w:eastAsia="Times New Roman" w:hAnsi="Arial" w:cs="Arial"/>
                <w:color w:val="111111"/>
                <w:sz w:val="21"/>
                <w:szCs w:val="21"/>
              </w:rPr>
              <w:t>e of the contract. Mills asserts that absent a finding that Double Diamond was excused from performance, Double Diamond breached the contract by refusing to return to the project and is not entitled to recover. Material breach provides one basis for excusing Double Diamond's performance under the contract. Another basis for excusing Double Diamond's performance is the district court's recognition that Mills made Double Diamond's performance under the contract impossible.</w:t>
            </w:r>
          </w:p>
          <w:p w:rsidR="001B06CA" w:rsidRPr="001B06CA" w:rsidRDefault="001B06CA" w:rsidP="001B06CA">
            <w:pPr>
              <w:spacing w:after="240" w:line="240" w:lineRule="auto"/>
              <w:rPr>
                <w:rFonts w:ascii="Arial" w:eastAsia="Times New Roman" w:hAnsi="Arial" w:cs="Arial"/>
                <w:color w:val="111111"/>
                <w:sz w:val="21"/>
                <w:szCs w:val="21"/>
              </w:rPr>
            </w:pPr>
            <w:r w:rsidRPr="001B06CA">
              <w:rPr>
                <w:rFonts w:ascii="Arial" w:eastAsia="Times New Roman" w:hAnsi="Arial" w:cs="Arial"/>
                <w:color w:val="111111"/>
                <w:sz w:val="21"/>
                <w:szCs w:val="21"/>
              </w:rPr>
              <w:t>   As our prior discussion illustrates, the parties tried this case as a breach of contract case. The district court found Mills breached the contract, and we have concluded that implicit in its decision is a finding of material breach. Under South Dakota law, the plaintiff in an action for breach of contract “is entitled to recover all his detriment proximately caused by the breach, not exceeding the amount he would have gained by full performance.” It is well-settled in this circuit that “the amount of damages in a nonjury case is within the discretion of the trial court and cannot be overturned unless clearly erroneous.”</w:t>
            </w:r>
          </w:p>
          <w:p w:rsidR="001B06CA" w:rsidRPr="001B06CA" w:rsidRDefault="001B06CA" w:rsidP="001B06CA">
            <w:pPr>
              <w:spacing w:after="0" w:line="240" w:lineRule="auto"/>
              <w:jc w:val="right"/>
              <w:rPr>
                <w:rFonts w:ascii="Arial" w:eastAsia="Times New Roman" w:hAnsi="Arial" w:cs="Arial"/>
                <w:color w:val="111111"/>
                <w:sz w:val="21"/>
                <w:szCs w:val="21"/>
              </w:rPr>
            </w:pPr>
            <w:r w:rsidRPr="001B06CA">
              <w:rPr>
                <w:rFonts w:ascii="Arial" w:eastAsia="Times New Roman" w:hAnsi="Arial" w:cs="Arial"/>
                <w:b/>
                <w:bCs/>
                <w:color w:val="111111"/>
                <w:sz w:val="21"/>
                <w:szCs w:val="21"/>
              </w:rPr>
              <w:t>AFFIRMED in favor of plaintiff, Wilma Miller.</w:t>
            </w:r>
          </w:p>
        </w:tc>
      </w:tr>
    </w:tbl>
    <w:p w:rsidR="00721E19" w:rsidRDefault="001B06CA"/>
    <w:sectPr w:rsidR="00721E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6CA"/>
    <w:rsid w:val="001B06CA"/>
    <w:rsid w:val="001D257D"/>
    <w:rsid w:val="00A32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F2699A-98CA-44F0-8015-77B27144E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1205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814</Words>
  <Characters>4645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Diaz, Dalisa</dc:creator>
  <cp:keywords/>
  <dc:description/>
  <cp:lastModifiedBy>Diaz, Dalisa</cp:lastModifiedBy>
  <cp:revision>1</cp:revision>
  <dcterms:created xsi:type="dcterms:W3CDTF">2016-07-07T16:37:00Z</dcterms:created>
  <dcterms:modified xsi:type="dcterms:W3CDTF">2016-07-07T16:37:00Z</dcterms:modified>
</cp:coreProperties>
</file>